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19" w:rsidRDefault="00772619">
      <w:pPr>
        <w:rPr>
          <w:rFonts w:hAnsi="仿宋" w:cs="Times New Roman"/>
        </w:rPr>
      </w:pPr>
    </w:p>
    <w:p w:rsidR="00772619" w:rsidRDefault="00772619" w:rsidP="00E15C9D">
      <w:pPr>
        <w:pStyle w:val="NormalWeb"/>
        <w:spacing w:before="0" w:beforeAutospacing="0" w:after="0" w:afterAutospacing="0" w:line="560" w:lineRule="atLeast"/>
        <w:jc w:val="both"/>
        <w:rPr>
          <w:rFonts w:cs="Times New Roman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jc w:val="both"/>
        <w:rPr>
          <w:rFonts w:cs="Times New Roman"/>
        </w:rPr>
      </w:pPr>
      <w:r>
        <w:rPr>
          <w:rFonts w:ascii="仿宋_GB2312" w:eastAsia="仿宋_GB2312" w:cs="Times New Roman"/>
          <w:sz w:val="32"/>
          <w:szCs w:val="32"/>
        </w:rPr>
        <w:t> 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jc w:val="center"/>
        <w:rPr>
          <w:rFonts w:cs="Times New Roman"/>
        </w:rPr>
      </w:pPr>
      <w:r>
        <w:rPr>
          <w:rFonts w:ascii="方正小标宋简体" w:eastAsia="方正小标宋简体" w:cs="方正小标宋简体" w:hint="eastAsia"/>
          <w:spacing w:val="-20"/>
          <w:sz w:val="44"/>
          <w:szCs w:val="44"/>
        </w:rPr>
        <w:t>全省博物馆免费开放最佳做法推介活动规则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jc w:val="center"/>
        <w:rPr>
          <w:rFonts w:cs="Times New Roman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月修订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）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jc w:val="both"/>
        <w:rPr>
          <w:rFonts w:cs="Times New Roman"/>
        </w:rPr>
      </w:pPr>
      <w:r>
        <w:rPr>
          <w:rFonts w:ascii="仿宋_GB2312" w:eastAsia="仿宋_GB2312" w:cs="Times New Roman"/>
          <w:b/>
          <w:bCs/>
          <w:sz w:val="32"/>
          <w:szCs w:val="32"/>
        </w:rPr>
        <w:t> 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ind w:firstLine="640"/>
        <w:jc w:val="both"/>
        <w:rPr>
          <w:rFonts w:cs="Times New Roman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第一条</w:t>
      </w:r>
      <w:r>
        <w:rPr>
          <w:rFonts w:ascii="仿宋_GB2312" w:eastAsia="仿宋_GB2312" w:cs="Times New Roman"/>
          <w:b/>
          <w:bCs/>
          <w:sz w:val="32"/>
          <w:szCs w:val="32"/>
        </w:rPr>
        <w:t> 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pacing w:val="15"/>
          <w:sz w:val="32"/>
          <w:szCs w:val="32"/>
        </w:rPr>
        <w:t>为</w:t>
      </w:r>
      <w:r>
        <w:rPr>
          <w:rFonts w:ascii="仿宋_GB2312" w:eastAsia="仿宋_GB2312" w:cs="仿宋_GB2312" w:hint="eastAsia"/>
          <w:sz w:val="32"/>
          <w:szCs w:val="32"/>
        </w:rPr>
        <w:t>加强和规范全省博物馆免费开放最佳做法（以下简称“最佳做法”）推介活动工作，</w:t>
      </w:r>
      <w:r>
        <w:rPr>
          <w:rFonts w:ascii="仿宋_GB2312" w:eastAsia="仿宋_GB2312" w:cs="仿宋_GB2312" w:hint="eastAsia"/>
          <w:spacing w:val="15"/>
          <w:sz w:val="32"/>
          <w:szCs w:val="32"/>
        </w:rPr>
        <w:t>突出博物馆公益属性，强化博物馆公共文化服务功能，创新博物馆免费开放机制，增强博物馆发展活力</w:t>
      </w:r>
      <w:r>
        <w:rPr>
          <w:rFonts w:ascii="仿宋_GB2312" w:eastAsia="仿宋_GB2312" w:cs="仿宋_GB2312" w:hint="eastAsia"/>
          <w:sz w:val="32"/>
          <w:szCs w:val="32"/>
        </w:rPr>
        <w:t>，制定本规则。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ind w:firstLine="640"/>
        <w:jc w:val="both"/>
        <w:rPr>
          <w:rFonts w:cs="Times New Roman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第二条</w:t>
      </w:r>
      <w:r>
        <w:rPr>
          <w:rFonts w:ascii="仿宋_GB2312" w:eastAsia="仿宋_GB2312" w:cs="Times New Roman"/>
          <w:b/>
          <w:bCs/>
          <w:sz w:val="32"/>
          <w:szCs w:val="32"/>
        </w:rPr>
        <w:t> 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最佳做法推介活动应遵循博物馆相关法律法规和政策，体现博物馆公共文化服务的宗旨，彰显示范、引领和激励作用，更好地发挥博物馆免费开放服务和社会教育职能的作用。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ind w:firstLine="640"/>
        <w:jc w:val="both"/>
        <w:rPr>
          <w:rFonts w:cs="Times New Roman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第三条</w:t>
      </w:r>
      <w:r>
        <w:rPr>
          <w:rFonts w:ascii="仿宋_GB2312" w:eastAsia="仿宋_GB2312" w:cs="Times New Roman"/>
          <w:b/>
          <w:bCs/>
          <w:sz w:val="32"/>
          <w:szCs w:val="32"/>
        </w:rPr>
        <w:t> 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最佳做法推荐活动，由浙江省文物局指导，浙江省博物馆学会主办。</w:t>
      </w:r>
    </w:p>
    <w:p w:rsidR="00772619" w:rsidRDefault="00772619" w:rsidP="00E15C9D">
      <w:pPr>
        <w:pStyle w:val="NormalWeb"/>
        <w:spacing w:before="0" w:beforeAutospacing="0" w:after="0" w:afterAutospacing="0"/>
        <w:ind w:left="1933" w:hanging="1290"/>
        <w:jc w:val="both"/>
        <w:rPr>
          <w:rFonts w:cs="Times New Roman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第四条</w:t>
      </w:r>
      <w:r>
        <w:rPr>
          <w:rFonts w:ascii="Times New Roman" w:hAnsi="Times New Roman" w:cs="Times New Roman"/>
          <w:sz w:val="14"/>
          <w:szCs w:val="14"/>
        </w:rPr>
        <w:t xml:space="preserve">                   </w:t>
      </w:r>
      <w:r>
        <w:rPr>
          <w:rFonts w:ascii="仿宋_GB2312" w:eastAsia="仿宋_GB2312" w:cs="仿宋_GB2312" w:hint="eastAsia"/>
          <w:sz w:val="32"/>
          <w:szCs w:val="32"/>
        </w:rPr>
        <w:t>最佳做法推介活动，每三年一届，届次延续。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ind w:firstLine="640"/>
        <w:jc w:val="both"/>
        <w:rPr>
          <w:rFonts w:cs="Times New Roman"/>
        </w:rPr>
      </w:pPr>
      <w:r>
        <w:rPr>
          <w:rFonts w:ascii="仿宋_GB2312" w:eastAsia="仿宋_GB2312" w:cs="仿宋_GB2312" w:hint="eastAsia"/>
          <w:sz w:val="32"/>
          <w:szCs w:val="32"/>
        </w:rPr>
        <w:t>最佳做法项目设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pacing w:val="15"/>
          <w:sz w:val="32"/>
          <w:szCs w:val="32"/>
        </w:rPr>
        <w:t>个</w:t>
      </w:r>
      <w:r>
        <w:rPr>
          <w:rFonts w:ascii="仿宋_GB2312" w:eastAsia="仿宋_GB2312" w:cs="仿宋_GB2312" w:hint="eastAsia"/>
          <w:sz w:val="32"/>
          <w:szCs w:val="32"/>
        </w:rPr>
        <w:t>，即：最佳展示推广、</w:t>
      </w:r>
      <w:r>
        <w:rPr>
          <w:rFonts w:ascii="仿宋_GB2312" w:eastAsia="仿宋_GB2312" w:cs="仿宋_GB2312" w:hint="eastAsia"/>
          <w:spacing w:val="15"/>
          <w:sz w:val="32"/>
          <w:szCs w:val="32"/>
        </w:rPr>
        <w:t>最佳社会教育、最佳观众讲解、</w:t>
      </w:r>
      <w:r>
        <w:rPr>
          <w:rFonts w:ascii="仿宋_GB2312" w:eastAsia="仿宋_GB2312" w:cs="仿宋_GB2312" w:hint="eastAsia"/>
          <w:sz w:val="32"/>
          <w:szCs w:val="32"/>
        </w:rPr>
        <w:t>最佳公众参与、最佳运营管理、</w:t>
      </w:r>
      <w:r>
        <w:rPr>
          <w:rFonts w:ascii="仿宋_GB2312" w:eastAsia="仿宋_GB2312" w:cs="仿宋_GB2312" w:hint="eastAsia"/>
          <w:spacing w:val="15"/>
          <w:sz w:val="32"/>
          <w:szCs w:val="32"/>
        </w:rPr>
        <w:t>最佳文创产品、最佳媒体宣传、最佳文旅融合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jc w:val="both"/>
        <w:rPr>
          <w:rFonts w:cs="Times New Roman"/>
        </w:rPr>
      </w:pPr>
      <w:r>
        <w:rPr>
          <w:rFonts w:ascii="仿宋_GB2312" w:eastAsia="仿宋_GB2312" w:cs="Times New Roman"/>
          <w:sz w:val="32"/>
          <w:szCs w:val="32"/>
        </w:rPr>
        <w:t>  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pacing w:val="15"/>
          <w:sz w:val="32"/>
          <w:szCs w:val="32"/>
        </w:rPr>
        <w:t>每届每个项目入选数不超过</w:t>
      </w:r>
      <w:r>
        <w:rPr>
          <w:rFonts w:ascii="仿宋_GB2312" w:eastAsia="仿宋_GB2312" w:cs="仿宋_GB2312"/>
          <w:spacing w:val="15"/>
          <w:sz w:val="32"/>
          <w:szCs w:val="32"/>
        </w:rPr>
        <w:t>3</w:t>
      </w:r>
      <w:r>
        <w:rPr>
          <w:rFonts w:ascii="仿宋_GB2312" w:eastAsia="仿宋_GB2312" w:cs="仿宋_GB2312" w:hint="eastAsia"/>
          <w:spacing w:val="15"/>
          <w:sz w:val="32"/>
          <w:szCs w:val="32"/>
        </w:rPr>
        <w:t>个</w:t>
      </w:r>
      <w:r>
        <w:rPr>
          <w:rFonts w:ascii="仿宋_GB2312" w:eastAsia="仿宋_GB2312" w:cs="仿宋_GB2312" w:hint="eastAsia"/>
          <w:sz w:val="32"/>
          <w:szCs w:val="32"/>
        </w:rPr>
        <w:t>；申报数不足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个的，该最佳做法项目当届不予评审和推介。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ind w:firstLine="640"/>
        <w:jc w:val="both"/>
        <w:rPr>
          <w:rFonts w:cs="Times New Roman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第五条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pacing w:val="15"/>
          <w:sz w:val="32"/>
          <w:szCs w:val="32"/>
        </w:rPr>
        <w:t>最佳做法项目突出体现博物馆免费开放服务工作特点，包括：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ind w:firstLine="640"/>
        <w:jc w:val="both"/>
        <w:rPr>
          <w:rFonts w:cs="Times New Roman"/>
        </w:rPr>
      </w:pPr>
      <w:r>
        <w:rPr>
          <w:rFonts w:ascii="仿宋_GB2312" w:eastAsia="仿宋_GB2312" w:cs="仿宋_GB2312" w:hint="eastAsia"/>
          <w:spacing w:val="15"/>
          <w:sz w:val="32"/>
          <w:szCs w:val="32"/>
        </w:rPr>
        <w:t>（一）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最佳展示推广</w:t>
      </w:r>
      <w:r>
        <w:rPr>
          <w:rFonts w:ascii="仿宋_GB2312" w:eastAsia="仿宋_GB2312" w:cs="仿宋_GB2312" w:hint="eastAsia"/>
          <w:sz w:val="32"/>
          <w:szCs w:val="32"/>
        </w:rPr>
        <w:t>：常设展览及时更新提升，藏品资源整合共享、合作办展活跃，展览诠释科学、生动，展览文化品牌社会认知、认可度高。通过流动展览等方式，积极参与社区文化建设，有效扩大博物馆展览辐射面。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ind w:firstLine="640"/>
        <w:jc w:val="both"/>
        <w:rPr>
          <w:rFonts w:cs="Times New Roman"/>
        </w:rPr>
      </w:pPr>
      <w:r>
        <w:rPr>
          <w:rFonts w:ascii="仿宋_GB2312" w:eastAsia="仿宋_GB2312" w:cs="仿宋_GB2312" w:hint="eastAsia"/>
          <w:spacing w:val="15"/>
          <w:sz w:val="32"/>
          <w:szCs w:val="32"/>
        </w:rPr>
        <w:t>（二）</w:t>
      </w:r>
      <w:r>
        <w:rPr>
          <w:rFonts w:ascii="仿宋_GB2312" w:eastAsia="仿宋_GB2312" w:cs="仿宋_GB2312" w:hint="eastAsia"/>
          <w:b/>
          <w:bCs/>
          <w:spacing w:val="15"/>
          <w:sz w:val="32"/>
          <w:szCs w:val="32"/>
        </w:rPr>
        <w:t>最佳社会教育</w:t>
      </w:r>
      <w:r>
        <w:rPr>
          <w:rFonts w:ascii="仿宋_GB2312" w:eastAsia="仿宋_GB2312" w:cs="仿宋_GB2312" w:hint="eastAsia"/>
          <w:spacing w:val="15"/>
          <w:sz w:val="32"/>
          <w:szCs w:val="32"/>
        </w:rPr>
        <w:t>：创新博物馆教育机制，教育项目丰富多彩，参与性互动性强，形成美誉度高的品牌，深受社会各阶层欢迎。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ind w:firstLine="640"/>
        <w:jc w:val="both"/>
        <w:rPr>
          <w:rFonts w:cs="Times New Roman"/>
        </w:rPr>
      </w:pPr>
      <w:r>
        <w:rPr>
          <w:rFonts w:ascii="仿宋_GB2312" w:eastAsia="仿宋_GB2312" w:cs="仿宋_GB2312" w:hint="eastAsia"/>
          <w:spacing w:val="15"/>
          <w:sz w:val="32"/>
          <w:szCs w:val="32"/>
        </w:rPr>
        <w:t>（三）</w:t>
      </w:r>
      <w:r>
        <w:rPr>
          <w:rFonts w:ascii="仿宋_GB2312" w:eastAsia="仿宋_GB2312" w:cs="仿宋_GB2312" w:hint="eastAsia"/>
          <w:b/>
          <w:bCs/>
          <w:spacing w:val="15"/>
          <w:sz w:val="32"/>
          <w:szCs w:val="32"/>
        </w:rPr>
        <w:t>最佳观众讲解</w:t>
      </w:r>
      <w:r>
        <w:rPr>
          <w:rFonts w:ascii="仿宋_GB2312" w:eastAsia="仿宋_GB2312" w:cs="仿宋_GB2312" w:hint="eastAsia"/>
          <w:spacing w:val="15"/>
          <w:sz w:val="32"/>
          <w:szCs w:val="32"/>
        </w:rPr>
        <w:t>：创新讲解导览的内容、形式和手段，规划有效的沟通策略，适应观众的多元需求，服务质量和观众满意度高。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ind w:firstLine="640"/>
        <w:jc w:val="both"/>
        <w:rPr>
          <w:rFonts w:cs="Times New Roman"/>
        </w:rPr>
      </w:pPr>
      <w:r>
        <w:rPr>
          <w:rFonts w:ascii="仿宋_GB2312" w:eastAsia="仿宋_GB2312" w:cs="仿宋_GB2312" w:hint="eastAsia"/>
          <w:spacing w:val="15"/>
          <w:sz w:val="32"/>
          <w:szCs w:val="32"/>
        </w:rPr>
        <w:t>（四）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最佳公众参与</w:t>
      </w:r>
      <w:r>
        <w:rPr>
          <w:rFonts w:ascii="仿宋_GB2312" w:eastAsia="仿宋_GB2312" w:cs="仿宋_GB2312" w:hint="eastAsia"/>
          <w:sz w:val="32"/>
          <w:szCs w:val="32"/>
        </w:rPr>
        <w:t>：创新博物馆融入社会机制，不断壮大博物馆之友和志愿者队伍，鼓励社会公众积极参与博物馆工作，使之成为博物馆发展的有力支撑。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ind w:firstLine="585"/>
        <w:jc w:val="both"/>
        <w:rPr>
          <w:rFonts w:cs="Times New Roman"/>
        </w:rPr>
      </w:pPr>
      <w:r>
        <w:rPr>
          <w:rFonts w:ascii="仿宋_GB2312" w:eastAsia="仿宋_GB2312" w:cs="仿宋_GB2312" w:hint="eastAsia"/>
          <w:spacing w:val="15"/>
          <w:sz w:val="32"/>
          <w:szCs w:val="32"/>
        </w:rPr>
        <w:t>（五）</w:t>
      </w:r>
      <w:r>
        <w:rPr>
          <w:rFonts w:ascii="仿宋_GB2312" w:eastAsia="仿宋_GB2312" w:cs="仿宋_GB2312" w:hint="eastAsia"/>
          <w:b/>
          <w:bCs/>
          <w:spacing w:val="15"/>
          <w:sz w:val="32"/>
          <w:szCs w:val="32"/>
        </w:rPr>
        <w:t>最佳运营管理</w:t>
      </w:r>
      <w:r>
        <w:rPr>
          <w:rFonts w:ascii="仿宋_GB2312" w:eastAsia="仿宋_GB2312" w:cs="仿宋_GB2312" w:hint="eastAsia"/>
          <w:spacing w:val="15"/>
          <w:sz w:val="32"/>
          <w:szCs w:val="32"/>
        </w:rPr>
        <w:t>：坚持寓管理于服务的理念，不断健全免费开放各项服务制度。</w:t>
      </w:r>
      <w:r>
        <w:rPr>
          <w:rFonts w:ascii="仿宋_GB2312" w:eastAsia="仿宋_GB2312" w:cs="仿宋_GB2312" w:hint="eastAsia"/>
          <w:sz w:val="32"/>
          <w:szCs w:val="32"/>
        </w:rPr>
        <w:t>改革运行机制，提高运行效率的制度设计及执行力。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ind w:firstLine="640"/>
        <w:jc w:val="both"/>
        <w:rPr>
          <w:rFonts w:cs="Times New Roman"/>
        </w:rPr>
      </w:pPr>
      <w:r>
        <w:rPr>
          <w:rFonts w:ascii="仿宋_GB2312" w:eastAsia="仿宋_GB2312" w:cs="仿宋_GB2312" w:hint="eastAsia"/>
          <w:spacing w:val="15"/>
          <w:sz w:val="32"/>
          <w:szCs w:val="32"/>
        </w:rPr>
        <w:t>（六）</w:t>
      </w:r>
      <w:r>
        <w:rPr>
          <w:rFonts w:ascii="仿宋_GB2312" w:eastAsia="仿宋_GB2312" w:cs="仿宋_GB2312" w:hint="eastAsia"/>
          <w:b/>
          <w:bCs/>
          <w:spacing w:val="15"/>
          <w:sz w:val="32"/>
          <w:szCs w:val="32"/>
        </w:rPr>
        <w:t>最佳文创产品</w:t>
      </w:r>
      <w:r>
        <w:rPr>
          <w:rFonts w:ascii="仿宋_GB2312" w:eastAsia="仿宋_GB2312" w:cs="仿宋_GB2312" w:hint="eastAsia"/>
          <w:spacing w:val="15"/>
          <w:sz w:val="32"/>
          <w:szCs w:val="32"/>
        </w:rPr>
        <w:t>：</w:t>
      </w:r>
      <w:r>
        <w:rPr>
          <w:rFonts w:ascii="仿宋_GB2312" w:eastAsia="仿宋_GB2312" w:cs="仿宋_GB2312" w:hint="eastAsia"/>
          <w:sz w:val="32"/>
          <w:szCs w:val="32"/>
        </w:rPr>
        <w:t>创新博物馆文化产品研发和推广机制，</w:t>
      </w:r>
      <w:r>
        <w:rPr>
          <w:rFonts w:ascii="仿宋_GB2312" w:eastAsia="仿宋_GB2312" w:cs="仿宋_GB2312" w:hint="eastAsia"/>
          <w:spacing w:val="15"/>
          <w:sz w:val="32"/>
          <w:szCs w:val="32"/>
        </w:rPr>
        <w:t>文</w:t>
      </w:r>
      <w:r>
        <w:rPr>
          <w:rFonts w:ascii="仿宋_GB2312" w:eastAsia="仿宋_GB2312" w:cs="仿宋_GB2312" w:hint="eastAsia"/>
          <w:sz w:val="32"/>
          <w:szCs w:val="32"/>
        </w:rPr>
        <w:t>创</w:t>
      </w:r>
      <w:r>
        <w:rPr>
          <w:rFonts w:ascii="仿宋_GB2312" w:eastAsia="仿宋_GB2312" w:cs="仿宋_GB2312" w:hint="eastAsia"/>
          <w:spacing w:val="15"/>
          <w:sz w:val="32"/>
          <w:szCs w:val="32"/>
        </w:rPr>
        <w:t>产品凸显鲜明的博物馆文化创意特色，种类丰富，营销良好，影响力大。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ind w:firstLine="640"/>
        <w:jc w:val="both"/>
        <w:rPr>
          <w:rFonts w:cs="Times New Roman"/>
        </w:rPr>
      </w:pPr>
      <w:r>
        <w:rPr>
          <w:rFonts w:ascii="仿宋_GB2312" w:eastAsia="仿宋_GB2312" w:cs="仿宋_GB2312" w:hint="eastAsia"/>
          <w:spacing w:val="15"/>
          <w:sz w:val="32"/>
          <w:szCs w:val="32"/>
        </w:rPr>
        <w:t>（七）</w:t>
      </w:r>
      <w:r>
        <w:rPr>
          <w:rFonts w:ascii="仿宋_GB2312" w:eastAsia="仿宋_GB2312" w:cs="仿宋_GB2312" w:hint="eastAsia"/>
          <w:b/>
          <w:bCs/>
          <w:spacing w:val="15"/>
          <w:sz w:val="32"/>
          <w:szCs w:val="32"/>
        </w:rPr>
        <w:t>最佳媒体宣传</w:t>
      </w:r>
      <w:r>
        <w:rPr>
          <w:rFonts w:ascii="仿宋_GB2312" w:eastAsia="仿宋_GB2312" w:cs="仿宋_GB2312" w:hint="eastAsia"/>
          <w:spacing w:val="15"/>
          <w:sz w:val="32"/>
          <w:szCs w:val="32"/>
        </w:rPr>
        <w:t>：</w:t>
      </w:r>
      <w:r>
        <w:rPr>
          <w:rFonts w:ascii="仿宋_GB2312" w:eastAsia="仿宋_GB2312" w:cs="仿宋_GB2312" w:hint="eastAsia"/>
          <w:sz w:val="32"/>
          <w:szCs w:val="32"/>
        </w:rPr>
        <w:t>创新博物馆品牌形象推广，有效运用各种新媒体和平台传播博物馆文化，与公众建立良好的互动关系；</w:t>
      </w:r>
      <w:r>
        <w:rPr>
          <w:rFonts w:ascii="仿宋_GB2312" w:eastAsia="仿宋_GB2312" w:cs="仿宋_GB2312" w:hint="eastAsia"/>
          <w:spacing w:val="15"/>
          <w:sz w:val="32"/>
          <w:szCs w:val="32"/>
        </w:rPr>
        <w:t>博物馆网站、微博、微信等新媒体设计不断优化，新媒体服务的信息、内容丰富多彩、及时准确，参与性、互动性强，深受观众喜爱。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ind w:firstLine="640"/>
        <w:jc w:val="both"/>
        <w:rPr>
          <w:rFonts w:cs="Times New Roman"/>
        </w:rPr>
      </w:pPr>
      <w:r>
        <w:rPr>
          <w:rFonts w:ascii="仿宋_GB2312" w:eastAsia="仿宋_GB2312" w:cs="仿宋_GB2312" w:hint="eastAsia"/>
          <w:b/>
          <w:bCs/>
          <w:spacing w:val="15"/>
          <w:sz w:val="32"/>
          <w:szCs w:val="32"/>
        </w:rPr>
        <w:t>（八）最佳文旅融合：</w:t>
      </w:r>
      <w:r>
        <w:rPr>
          <w:rFonts w:ascii="仿宋_GB2312" w:eastAsia="仿宋_GB2312" w:cs="仿宋_GB2312" w:hint="eastAsia"/>
          <w:spacing w:val="15"/>
          <w:sz w:val="32"/>
          <w:szCs w:val="32"/>
        </w:rPr>
        <w:t>随着机构改革的不断深化，博物馆逐渐成为旅游的重要目的地。作为旅游发展的重要阵地和载体，博物馆积极推进景区化建设，服务设施完善、便捷；博物馆旅游定位准确</w:t>
      </w:r>
      <w:r>
        <w:rPr>
          <w:rFonts w:ascii="仿宋_GB2312" w:eastAsia="仿宋_GB2312" w:cs="仿宋_GB2312"/>
          <w:spacing w:val="15"/>
          <w:sz w:val="32"/>
          <w:szCs w:val="32"/>
        </w:rPr>
        <w:t>,</w:t>
      </w:r>
      <w:r>
        <w:rPr>
          <w:rFonts w:ascii="仿宋_GB2312" w:eastAsia="仿宋_GB2312" w:cs="仿宋_GB2312" w:hint="eastAsia"/>
          <w:spacing w:val="15"/>
          <w:sz w:val="32"/>
          <w:szCs w:val="32"/>
        </w:rPr>
        <w:t>文化产品供给丰富，内容表达和展览展示手段创新；主动融入和对接地域特色文化旅游线路，积极推动博物馆与旅游景点景区的有机结合；体制机制创新，建立文物资源转化为旅游资源的长效机制。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ind w:firstLine="627"/>
        <w:jc w:val="both"/>
        <w:rPr>
          <w:rFonts w:cs="Times New Roman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第六条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参加推介申报的单位应当依法在相关部门办理登记，在文物主管部门备案或批准，并为免费开放的博物馆；近三年内未发生过文物藏品被盗、损毁和其它重大安全事故的博物馆。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ind w:firstLine="640"/>
        <w:jc w:val="both"/>
        <w:rPr>
          <w:rFonts w:cs="Times New Roman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第七条</w:t>
      </w:r>
      <w:r>
        <w:rPr>
          <w:rFonts w:ascii="仿宋_GB2312" w:eastAsia="仿宋_GB2312" w:cs="Times New Roman"/>
          <w:b/>
          <w:bCs/>
          <w:sz w:val="32"/>
          <w:szCs w:val="32"/>
        </w:rPr>
        <w:t> 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最佳做法推荐活动，秉承“公开、公平、公正”的原则。推介项目适当向基层博物馆倾斜，以鼓励、促进全省博物馆免费开放深入实施。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ind w:firstLine="640"/>
        <w:jc w:val="both"/>
        <w:rPr>
          <w:rFonts w:cs="Times New Roman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第八条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参加最佳做法推介项目，由项目所在博物馆按本规则及有关要求提出申请，经当地市、县（市、区）文物行政主管部门初审推荐，向省博物馆学会申报推介项目申报书和相关材料；省直单位直接向省博物馆学会申报推介。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ind w:firstLine="640"/>
        <w:jc w:val="both"/>
        <w:rPr>
          <w:rFonts w:cs="Times New Roman"/>
        </w:rPr>
      </w:pPr>
      <w:r>
        <w:rPr>
          <w:rFonts w:ascii="仿宋_GB2312" w:eastAsia="仿宋_GB2312" w:cs="仿宋_GB2312" w:hint="eastAsia"/>
          <w:sz w:val="32"/>
          <w:szCs w:val="32"/>
        </w:rPr>
        <w:t>每个博物馆每届限报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个项目。曾经入选国家或省同一推介项目的不能再次推介。</w:t>
      </w:r>
    </w:p>
    <w:p w:rsidR="00772619" w:rsidRDefault="00772619" w:rsidP="00E15C9D">
      <w:pPr>
        <w:pStyle w:val="NormalWeb"/>
        <w:shd w:val="clear" w:color="auto" w:fill="FFFFFF"/>
        <w:spacing w:before="0" w:beforeAutospacing="0" w:after="0" w:afterAutospacing="0" w:line="560" w:lineRule="atLeast"/>
        <w:ind w:firstLine="627"/>
        <w:jc w:val="both"/>
        <w:rPr>
          <w:rFonts w:cs="Times New Roman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第九条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推介活动由主办单位负责组建最佳做法推介活动评委会。评委会人员为</w:t>
      </w:r>
      <w:r>
        <w:rPr>
          <w:rFonts w:ascii="仿宋_GB2312" w:eastAsia="仿宋_GB2312" w:cs="仿宋_GB2312"/>
          <w:sz w:val="32"/>
          <w:szCs w:val="32"/>
        </w:rPr>
        <w:t>11</w:t>
      </w:r>
      <w:r>
        <w:rPr>
          <w:rFonts w:ascii="仿宋_GB2312" w:eastAsia="仿宋_GB2312" w:cs="仿宋_GB2312" w:hint="eastAsia"/>
          <w:sz w:val="32"/>
          <w:szCs w:val="32"/>
        </w:rPr>
        <w:t>名。评委应熟悉博物馆免费开放相关工作，具有较高的专业水平和业务能力，以及客观、正确的判断力，公正廉明。评委除主办单位代表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名、指导单位代表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名外，其他评委从专家库中随机抽选产生。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ind w:firstLine="640"/>
        <w:jc w:val="both"/>
        <w:rPr>
          <w:rFonts w:cs="Times New Roman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第十条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评审工作实行回避制度。评委成员应严格遵守评选纪律。凡与推介项目有直接关系者或有推介项目的单位的专家，不得参与评审工作。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ind w:firstLine="640"/>
        <w:jc w:val="both"/>
        <w:rPr>
          <w:rFonts w:cs="Times New Roman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第十一条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评委会通过综合评议，以实名打分方式产生最佳做法项目入围名单，通过浙江省博物馆学会网站向社会公示，并报省文物局审定。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ind w:firstLine="640"/>
        <w:jc w:val="both"/>
        <w:rPr>
          <w:rFonts w:cs="Times New Roman"/>
        </w:rPr>
      </w:pPr>
      <w:r>
        <w:rPr>
          <w:rFonts w:ascii="仿宋_GB2312" w:eastAsia="仿宋_GB2312" w:cs="仿宋_GB2312" w:hint="eastAsia"/>
          <w:sz w:val="32"/>
          <w:szCs w:val="32"/>
        </w:rPr>
        <w:t>公示期为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天。公示期间若对入围名单有异议的，评委会进行复核，提出复核报告，由省博物馆学会初审后报省文物局审定。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ind w:firstLine="640"/>
        <w:jc w:val="both"/>
        <w:rPr>
          <w:rFonts w:cs="Times New Roman"/>
        </w:rPr>
      </w:pPr>
      <w:r>
        <w:rPr>
          <w:rFonts w:ascii="仿宋_GB2312" w:eastAsia="仿宋_GB2312" w:cs="仿宋_GB2312" w:hint="eastAsia"/>
          <w:sz w:val="32"/>
          <w:szCs w:val="32"/>
        </w:rPr>
        <w:t>公示期满若无异议的，省博物馆学会将评选结果予以公布并授牌。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ind w:firstLine="579"/>
        <w:jc w:val="both"/>
        <w:rPr>
          <w:rFonts w:cs="Times New Roman"/>
        </w:rPr>
      </w:pPr>
      <w:r>
        <w:rPr>
          <w:rFonts w:ascii="仿宋_GB2312" w:eastAsia="仿宋_GB2312" w:cs="仿宋_GB2312" w:hint="eastAsia"/>
          <w:sz w:val="32"/>
          <w:szCs w:val="32"/>
        </w:rPr>
        <w:t>获选最佳做法的项目，在“浙江省博物馆学会网站”和《浙江文物》期刊等进行宣传推介。</w:t>
      </w:r>
    </w:p>
    <w:p w:rsidR="00772619" w:rsidRDefault="00772619" w:rsidP="00E15C9D">
      <w:pPr>
        <w:pStyle w:val="NormalWeb"/>
        <w:spacing w:before="0" w:beforeAutospacing="0" w:after="0" w:afterAutospacing="0" w:line="560" w:lineRule="atLeast"/>
        <w:ind w:firstLine="640"/>
        <w:jc w:val="both"/>
        <w:rPr>
          <w:rFonts w:cs="Times New Roman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第十二条</w:t>
      </w:r>
      <w:r>
        <w:rPr>
          <w:rFonts w:ascii="仿宋_GB2312" w:eastAsia="仿宋_GB2312" w:cs="Times New Roman"/>
          <w:sz w:val="32"/>
          <w:szCs w:val="32"/>
        </w:rPr>
        <w:t> 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本规则由浙江省博物馆学会负责解释。</w:t>
      </w:r>
    </w:p>
    <w:p w:rsidR="00772619" w:rsidRPr="00E15C9D" w:rsidRDefault="00772619" w:rsidP="00433A74">
      <w:pPr>
        <w:rPr>
          <w:rFonts w:cs="Times New Roman"/>
        </w:rPr>
      </w:pPr>
    </w:p>
    <w:sectPr w:rsidR="00772619" w:rsidRPr="00E15C9D" w:rsidSect="00433A74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19" w:rsidRDefault="00772619" w:rsidP="009F1C4B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2619" w:rsidRDefault="00772619" w:rsidP="009F1C4B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19" w:rsidRPr="00E15C9D" w:rsidRDefault="00772619" w:rsidP="00E15C9D">
    <w:pPr>
      <w:pStyle w:val="Footer"/>
      <w:jc w:val="center"/>
      <w:rPr>
        <w:rFonts w:ascii="宋体" w:eastAsia="宋体" w:hAnsi="宋体" w:cs="Times New Roman"/>
        <w:sz w:val="28"/>
        <w:szCs w:val="28"/>
      </w:rPr>
    </w:pPr>
    <w:r w:rsidRPr="009F1C4B">
      <w:rPr>
        <w:rFonts w:ascii="宋体" w:eastAsia="宋体" w:hAnsi="宋体" w:cs="宋体"/>
        <w:sz w:val="28"/>
        <w:szCs w:val="28"/>
      </w:rPr>
      <w:fldChar w:fldCharType="begin"/>
    </w:r>
    <w:r w:rsidRPr="009F1C4B">
      <w:rPr>
        <w:rFonts w:ascii="宋体" w:eastAsia="宋体" w:hAnsi="宋体" w:cs="宋体"/>
        <w:sz w:val="28"/>
        <w:szCs w:val="28"/>
      </w:rPr>
      <w:instrText>PAGE   \* MERGEFORMAT</w:instrText>
    </w:r>
    <w:r w:rsidRPr="009F1C4B">
      <w:rPr>
        <w:rFonts w:ascii="宋体" w:eastAsia="宋体" w:hAnsi="宋体" w:cs="宋体"/>
        <w:sz w:val="28"/>
        <w:szCs w:val="28"/>
      </w:rPr>
      <w:fldChar w:fldCharType="separate"/>
    </w:r>
    <w:r w:rsidRPr="00433A74">
      <w:rPr>
        <w:rFonts w:ascii="宋体" w:eastAsia="宋体" w:hAnsi="宋体" w:cs="宋体"/>
        <w:noProof/>
        <w:sz w:val="28"/>
        <w:szCs w:val="28"/>
        <w:lang w:val="zh-CN"/>
      </w:rPr>
      <w:t>4</w:t>
    </w:r>
    <w:r w:rsidRPr="009F1C4B">
      <w:rPr>
        <w:rFonts w:ascii="宋体" w:eastAsia="宋体" w:hAnsi="宋体" w:cs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19" w:rsidRDefault="00772619" w:rsidP="009F1C4B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2619" w:rsidRDefault="00772619" w:rsidP="009F1C4B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EBB"/>
    <w:rsid w:val="0004161F"/>
    <w:rsid w:val="00063EF8"/>
    <w:rsid w:val="0023704C"/>
    <w:rsid w:val="002524DE"/>
    <w:rsid w:val="003203A2"/>
    <w:rsid w:val="00433340"/>
    <w:rsid w:val="00433A74"/>
    <w:rsid w:val="00772619"/>
    <w:rsid w:val="009A2300"/>
    <w:rsid w:val="009F1C4B"/>
    <w:rsid w:val="00A234D8"/>
    <w:rsid w:val="00A56B5F"/>
    <w:rsid w:val="00B74813"/>
    <w:rsid w:val="00B92CD2"/>
    <w:rsid w:val="00C613B2"/>
    <w:rsid w:val="00CC1F75"/>
    <w:rsid w:val="00CF5EBB"/>
    <w:rsid w:val="00E15C9D"/>
    <w:rsid w:val="00EF0683"/>
    <w:rsid w:val="00F232CA"/>
    <w:rsid w:val="00F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D2"/>
    <w:pPr>
      <w:spacing w:line="560" w:lineRule="exact"/>
      <w:jc w:val="both"/>
    </w:pPr>
    <w:rPr>
      <w:rFonts w:cs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1C4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F1C4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1C4B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E15C9D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274</Words>
  <Characters>1568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沈坤荣(AT000024)</dc:creator>
  <cp:keywords/>
  <dc:description/>
  <cp:lastModifiedBy>China</cp:lastModifiedBy>
  <cp:revision>2</cp:revision>
  <dcterms:created xsi:type="dcterms:W3CDTF">2020-03-10T03:31:00Z</dcterms:created>
  <dcterms:modified xsi:type="dcterms:W3CDTF">2020-03-10T03:31:00Z</dcterms:modified>
</cp:coreProperties>
</file>